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12C2" w14:textId="47508FD3" w:rsidR="003F1097" w:rsidRDefault="0080043A" w:rsidP="00FB2598">
      <w:pPr>
        <w:autoSpaceDE w:val="0"/>
        <w:autoSpaceDN w:val="0"/>
        <w:adjustRightInd w:val="0"/>
        <w:spacing w:after="0" w:line="240" w:lineRule="auto"/>
        <w:rPr>
          <w:rFonts w:cstheme="minorHAnsi"/>
          <w:b/>
          <w:bCs/>
          <w:kern w:val="0"/>
          <w:sz w:val="28"/>
          <w:szCs w:val="28"/>
        </w:rPr>
      </w:pPr>
      <w:r>
        <w:rPr>
          <w:rFonts w:cstheme="minorHAnsi"/>
          <w:b/>
          <w:bCs/>
          <w:kern w:val="0"/>
          <w:sz w:val="28"/>
          <w:szCs w:val="28"/>
        </w:rPr>
        <w:t>N</w:t>
      </w:r>
      <w:r w:rsidR="003F1097" w:rsidRPr="003F1097">
        <w:rPr>
          <w:rFonts w:cstheme="minorHAnsi"/>
          <w:b/>
          <w:bCs/>
          <w:kern w:val="0"/>
          <w:sz w:val="28"/>
          <w:szCs w:val="28"/>
        </w:rPr>
        <w:t xml:space="preserve">ew </w:t>
      </w:r>
      <w:r>
        <w:rPr>
          <w:rFonts w:cstheme="minorHAnsi"/>
          <w:b/>
          <w:bCs/>
          <w:kern w:val="0"/>
          <w:sz w:val="28"/>
          <w:szCs w:val="28"/>
        </w:rPr>
        <w:t>Bill impacts FRS Retirement</w:t>
      </w:r>
    </w:p>
    <w:p w14:paraId="3DC228BF" w14:textId="77777777" w:rsidR="0080043A" w:rsidRDefault="0080043A" w:rsidP="00FB2598">
      <w:pPr>
        <w:autoSpaceDE w:val="0"/>
        <w:autoSpaceDN w:val="0"/>
        <w:adjustRightInd w:val="0"/>
        <w:spacing w:after="0" w:line="240" w:lineRule="auto"/>
        <w:rPr>
          <w:rFonts w:cstheme="minorHAnsi"/>
          <w:b/>
          <w:bCs/>
          <w:kern w:val="0"/>
          <w:sz w:val="28"/>
          <w:szCs w:val="28"/>
        </w:rPr>
      </w:pPr>
    </w:p>
    <w:p w14:paraId="485AAA46" w14:textId="77777777" w:rsidR="006E0F8C" w:rsidRPr="006E0F8C" w:rsidRDefault="006E0F8C" w:rsidP="006E0F8C">
      <w:pPr>
        <w:pStyle w:val="NormalWeb"/>
        <w:shd w:val="clear" w:color="auto" w:fill="FFFFFF"/>
        <w:rPr>
          <w:rFonts w:asciiTheme="minorHAnsi" w:hAnsiTheme="minorHAnsi" w:cstheme="minorHAnsi"/>
          <w:color w:val="000000"/>
          <w:sz w:val="20"/>
          <w:szCs w:val="20"/>
        </w:rPr>
      </w:pPr>
      <w:r w:rsidRPr="006E0F8C">
        <w:rPr>
          <w:rFonts w:asciiTheme="minorHAnsi" w:hAnsiTheme="minorHAnsi" w:cstheme="minorHAnsi"/>
          <w:color w:val="000000"/>
        </w:rPr>
        <w:t>Senate Bill 7024 was approved on June 5, 2023. This bill has changes that will impact the Florida Retirement System plans and the Retiree Health Insurance Subsidy.</w:t>
      </w:r>
    </w:p>
    <w:p w14:paraId="59430F61" w14:textId="77777777" w:rsidR="006E0F8C" w:rsidRPr="006E0F8C" w:rsidRDefault="006E0F8C" w:rsidP="006E0F8C">
      <w:pPr>
        <w:pStyle w:val="NormalWeb"/>
        <w:shd w:val="clear" w:color="auto" w:fill="FFFFFF"/>
        <w:rPr>
          <w:rFonts w:asciiTheme="minorHAnsi" w:hAnsiTheme="minorHAnsi" w:cstheme="minorHAnsi"/>
          <w:color w:val="000000"/>
          <w:sz w:val="20"/>
          <w:szCs w:val="20"/>
        </w:rPr>
      </w:pPr>
      <w:r w:rsidRPr="006E0F8C">
        <w:rPr>
          <w:rFonts w:asciiTheme="minorHAnsi" w:hAnsiTheme="minorHAnsi" w:cstheme="minorHAnsi"/>
          <w:color w:val="000000"/>
        </w:rPr>
        <w:t>Current DROP participants (who entered prior to June 5th, 2023) may apply for the continuation of DROP (from 60 months to 96 months) during the year of their DROP termination date, or approximately 90-120 days prior to your DROP termination date.  If approved, new DROP forms (DP-ELE) will need signed by the employer and submitted to the Division of Retirement prior to your current DROP termination date.   </w:t>
      </w:r>
    </w:p>
    <w:p w14:paraId="7CB1CECE" w14:textId="77777777" w:rsidR="006E0F8C" w:rsidRPr="006E0F8C" w:rsidRDefault="006E0F8C" w:rsidP="006E0F8C">
      <w:pPr>
        <w:pStyle w:val="NormalWeb"/>
        <w:shd w:val="clear" w:color="auto" w:fill="FFFFFF"/>
        <w:rPr>
          <w:rFonts w:asciiTheme="minorHAnsi" w:hAnsiTheme="minorHAnsi" w:cstheme="minorHAnsi"/>
          <w:color w:val="000000"/>
          <w:sz w:val="20"/>
          <w:szCs w:val="20"/>
        </w:rPr>
      </w:pPr>
      <w:r w:rsidRPr="006E0F8C">
        <w:rPr>
          <w:rFonts w:asciiTheme="minorHAnsi" w:hAnsiTheme="minorHAnsi" w:cstheme="minorHAnsi"/>
          <w:color w:val="000000"/>
        </w:rPr>
        <w:t>If you are interested in entering DROP, new DROP applications are in the process of revision, and will be available shortly.  We appreciate your patience, as we implement these new guidelines, forms, and procedures.</w:t>
      </w:r>
    </w:p>
    <w:p w14:paraId="4DB42424" w14:textId="77777777" w:rsidR="0080043A" w:rsidRPr="003F1097" w:rsidRDefault="0080043A" w:rsidP="00FB2598">
      <w:pPr>
        <w:autoSpaceDE w:val="0"/>
        <w:autoSpaceDN w:val="0"/>
        <w:adjustRightInd w:val="0"/>
        <w:spacing w:after="0" w:line="240" w:lineRule="auto"/>
        <w:rPr>
          <w:rFonts w:cstheme="minorHAnsi"/>
          <w:b/>
          <w:bCs/>
          <w:kern w:val="0"/>
          <w:sz w:val="28"/>
          <w:szCs w:val="28"/>
        </w:rPr>
      </w:pP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9926"/>
      </w:tblGrid>
      <w:tr w:rsidR="0080043A" w14:paraId="09DCD5AD" w14:textId="77777777" w:rsidTr="0080043A">
        <w:tc>
          <w:tcPr>
            <w:tcW w:w="9926" w:type="dxa"/>
          </w:tcPr>
          <w:p w14:paraId="789CFFA3" w14:textId="77777777" w:rsidR="0080043A" w:rsidRDefault="0080043A" w:rsidP="0080043A">
            <w:pPr>
              <w:autoSpaceDE w:val="0"/>
              <w:autoSpaceDN w:val="0"/>
              <w:adjustRightInd w:val="0"/>
              <w:rPr>
                <w:rFonts w:cstheme="minorHAnsi"/>
                <w:color w:val="000000"/>
                <w:kern w:val="0"/>
                <w:sz w:val="23"/>
                <w:szCs w:val="23"/>
              </w:rPr>
            </w:pPr>
            <w:r w:rsidRPr="00FB2598">
              <w:rPr>
                <w:rFonts w:cstheme="minorHAnsi"/>
                <w:b/>
                <w:bCs/>
                <w:color w:val="008997"/>
                <w:kern w:val="0"/>
                <w:sz w:val="23"/>
                <w:szCs w:val="23"/>
              </w:rPr>
              <w:t>Senate Bill 7024</w:t>
            </w:r>
          </w:p>
          <w:p w14:paraId="3A080E05" w14:textId="77777777" w:rsidR="0080043A" w:rsidRDefault="0080043A" w:rsidP="0080043A">
            <w:pPr>
              <w:autoSpaceDE w:val="0"/>
              <w:autoSpaceDN w:val="0"/>
              <w:adjustRightInd w:val="0"/>
              <w:rPr>
                <w:rFonts w:cstheme="minorHAnsi"/>
                <w:color w:val="000000"/>
                <w:kern w:val="0"/>
                <w:sz w:val="23"/>
                <w:szCs w:val="23"/>
              </w:rPr>
            </w:pPr>
          </w:p>
          <w:p w14:paraId="620EAEC1" w14:textId="77777777" w:rsidR="0080043A" w:rsidRPr="0080043A" w:rsidRDefault="0080043A" w:rsidP="0080043A">
            <w:pPr>
              <w:autoSpaceDE w:val="0"/>
              <w:autoSpaceDN w:val="0"/>
              <w:adjustRightInd w:val="0"/>
              <w:rPr>
                <w:rFonts w:ascii="Arial Nova Cond" w:hAnsi="Arial Nova Cond" w:cstheme="minorHAnsi"/>
                <w:color w:val="000000"/>
                <w:kern w:val="0"/>
                <w:sz w:val="23"/>
                <w:szCs w:val="23"/>
              </w:rPr>
            </w:pPr>
            <w:r w:rsidRPr="0080043A">
              <w:rPr>
                <w:rFonts w:ascii="Arial Nova Cond" w:hAnsi="Arial Nova Cond" w:cstheme="minorHAnsi"/>
                <w:color w:val="000000"/>
                <w:kern w:val="0"/>
                <w:sz w:val="23"/>
                <w:szCs w:val="23"/>
              </w:rPr>
              <w:t>This bill makes the following retirement changes:</w:t>
            </w:r>
          </w:p>
          <w:p w14:paraId="68531341" w14:textId="77777777" w:rsidR="0080043A" w:rsidRPr="0080043A" w:rsidRDefault="0080043A" w:rsidP="0080043A">
            <w:pPr>
              <w:autoSpaceDE w:val="0"/>
              <w:autoSpaceDN w:val="0"/>
              <w:adjustRightInd w:val="0"/>
              <w:rPr>
                <w:rFonts w:ascii="Arial Nova Cond" w:hAnsi="Arial Nova Cond" w:cstheme="minorHAnsi"/>
                <w:color w:val="000000"/>
                <w:kern w:val="0"/>
                <w:sz w:val="23"/>
                <w:szCs w:val="23"/>
              </w:rPr>
            </w:pPr>
          </w:p>
          <w:p w14:paraId="56168917"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008997"/>
                <w:kern w:val="0"/>
                <w:sz w:val="23"/>
                <w:szCs w:val="23"/>
              </w:rPr>
              <w:t xml:space="preserve">• </w:t>
            </w:r>
            <w:r w:rsidRPr="0080043A">
              <w:rPr>
                <w:rFonts w:ascii="Arial Nova Cond" w:hAnsi="Arial Nova Cond" w:cstheme="minorHAnsi"/>
                <w:color w:val="000000"/>
                <w:kern w:val="0"/>
                <w:sz w:val="23"/>
                <w:szCs w:val="23"/>
              </w:rPr>
              <w:t xml:space="preserve">Revises the Deferred Retirement Option Program (DROP) by: </w:t>
            </w:r>
          </w:p>
          <w:p w14:paraId="39962773" w14:textId="77777777" w:rsidR="0080043A" w:rsidRPr="008F1117" w:rsidRDefault="0080043A" w:rsidP="0080043A">
            <w:pPr>
              <w:autoSpaceDE w:val="0"/>
              <w:autoSpaceDN w:val="0"/>
              <w:adjustRightInd w:val="0"/>
              <w:ind w:left="180" w:hanging="180"/>
              <w:rPr>
                <w:rFonts w:ascii="Arial Nova Cond" w:hAnsi="Arial Nova Cond" w:cstheme="minorHAnsi"/>
                <w:color w:val="000000"/>
                <w:kern w:val="0"/>
                <w:sz w:val="14"/>
                <w:szCs w:val="14"/>
              </w:rPr>
            </w:pPr>
          </w:p>
          <w:p w14:paraId="5074366D"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80C342"/>
                <w:kern w:val="0"/>
                <w:sz w:val="23"/>
                <w:szCs w:val="23"/>
              </w:rPr>
              <w:t xml:space="preserve">– </w:t>
            </w:r>
            <w:r w:rsidRPr="0080043A">
              <w:rPr>
                <w:rFonts w:ascii="Arial Nova Cond" w:hAnsi="Arial Nova Cond" w:cstheme="minorHAnsi"/>
                <w:color w:val="000000"/>
                <w:kern w:val="0"/>
                <w:sz w:val="23"/>
                <w:szCs w:val="23"/>
              </w:rPr>
              <w:t xml:space="preserve">Eliminating the restrictive entry window for eligible members to participate in DROP. It allows entry into DROP at any time after the member reaches their normal retirement date and their vesting requirement is </w:t>
            </w:r>
            <w:proofErr w:type="gramStart"/>
            <w:r w:rsidRPr="0080043A">
              <w:rPr>
                <w:rFonts w:ascii="Arial Nova Cond" w:hAnsi="Arial Nova Cond" w:cstheme="minorHAnsi"/>
                <w:color w:val="000000"/>
                <w:kern w:val="0"/>
                <w:sz w:val="23"/>
                <w:szCs w:val="23"/>
              </w:rPr>
              <w:t>met;</w:t>
            </w:r>
            <w:proofErr w:type="gramEnd"/>
          </w:p>
          <w:p w14:paraId="1558D0A9"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80C342"/>
                <w:kern w:val="0"/>
                <w:sz w:val="23"/>
                <w:szCs w:val="23"/>
              </w:rPr>
              <w:t xml:space="preserve">– </w:t>
            </w:r>
            <w:r w:rsidRPr="0080043A">
              <w:rPr>
                <w:rFonts w:ascii="Arial Nova Cond" w:hAnsi="Arial Nova Cond" w:cstheme="minorHAnsi"/>
                <w:color w:val="000000"/>
                <w:kern w:val="0"/>
                <w:sz w:val="23"/>
                <w:szCs w:val="23"/>
              </w:rPr>
              <w:t xml:space="preserve">Increasing the maximum amount of time eligible members may participate in DROP from 60 to 96 calendar months for all membership </w:t>
            </w:r>
            <w:proofErr w:type="gramStart"/>
            <w:r w:rsidRPr="0080043A">
              <w:rPr>
                <w:rFonts w:ascii="Arial Nova Cond" w:hAnsi="Arial Nova Cond" w:cstheme="minorHAnsi"/>
                <w:color w:val="000000"/>
                <w:kern w:val="0"/>
                <w:sz w:val="23"/>
                <w:szCs w:val="23"/>
              </w:rPr>
              <w:t>classes;</w:t>
            </w:r>
            <w:proofErr w:type="gramEnd"/>
          </w:p>
          <w:p w14:paraId="0B49ADCD"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80C342"/>
                <w:kern w:val="0"/>
                <w:sz w:val="23"/>
                <w:szCs w:val="23"/>
              </w:rPr>
              <w:t xml:space="preserve">– </w:t>
            </w:r>
            <w:r w:rsidRPr="0080043A">
              <w:rPr>
                <w:rFonts w:ascii="Arial Nova Cond" w:hAnsi="Arial Nova Cond" w:cstheme="minorHAnsi"/>
                <w:color w:val="000000"/>
                <w:kern w:val="0"/>
                <w:sz w:val="23"/>
                <w:szCs w:val="23"/>
              </w:rPr>
              <w:t>Allowing instructional personnel, as defined in s. 1012.01(2)(</w:t>
            </w:r>
            <w:proofErr w:type="gramStart"/>
            <w:r w:rsidRPr="0080043A">
              <w:rPr>
                <w:rFonts w:ascii="Arial Nova Cond" w:hAnsi="Arial Nova Cond" w:cstheme="minorHAnsi"/>
                <w:color w:val="000000"/>
                <w:kern w:val="0"/>
                <w:sz w:val="23"/>
                <w:szCs w:val="23"/>
              </w:rPr>
              <w:t>a)-(</w:t>
            </w:r>
            <w:proofErr w:type="gramEnd"/>
            <w:r w:rsidRPr="0080043A">
              <w:rPr>
                <w:rFonts w:ascii="Arial Nova Cond" w:hAnsi="Arial Nova Cond" w:cstheme="minorHAnsi"/>
                <w:color w:val="000000"/>
                <w:kern w:val="0"/>
                <w:sz w:val="23"/>
                <w:szCs w:val="23"/>
              </w:rPr>
              <w:t>d), Florida Statutes, to extend their DROP participation for up to 24 calendar months in addition to the 96 months; and</w:t>
            </w:r>
          </w:p>
          <w:p w14:paraId="249D531D"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80C342"/>
                <w:kern w:val="0"/>
                <w:sz w:val="23"/>
                <w:szCs w:val="23"/>
              </w:rPr>
              <w:t xml:space="preserve">– </w:t>
            </w:r>
            <w:r w:rsidRPr="0080043A">
              <w:rPr>
                <w:rFonts w:ascii="Arial Nova Cond" w:hAnsi="Arial Nova Cond" w:cstheme="minorHAnsi"/>
                <w:color w:val="000000"/>
                <w:kern w:val="0"/>
                <w:sz w:val="23"/>
                <w:szCs w:val="23"/>
              </w:rPr>
              <w:t>Increasing the interest rate applied to a member’s accrued monthly benefit from 1.3% to 4%, effective July 1, 2023.</w:t>
            </w:r>
          </w:p>
          <w:p w14:paraId="428A3782" w14:textId="77777777" w:rsidR="0080043A" w:rsidRPr="0080043A" w:rsidRDefault="0080043A" w:rsidP="0080043A">
            <w:pPr>
              <w:autoSpaceDE w:val="0"/>
              <w:autoSpaceDN w:val="0"/>
              <w:adjustRightInd w:val="0"/>
              <w:rPr>
                <w:rFonts w:ascii="Arial Nova Cond" w:hAnsi="Arial Nova Cond" w:cstheme="minorHAnsi"/>
                <w:color w:val="000000"/>
                <w:kern w:val="0"/>
                <w:sz w:val="23"/>
                <w:szCs w:val="23"/>
              </w:rPr>
            </w:pPr>
          </w:p>
          <w:p w14:paraId="4B804400"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008997"/>
                <w:kern w:val="0"/>
                <w:sz w:val="23"/>
                <w:szCs w:val="23"/>
              </w:rPr>
              <w:t xml:space="preserve">• </w:t>
            </w:r>
            <w:r w:rsidRPr="0080043A">
              <w:rPr>
                <w:rFonts w:ascii="Arial Nova Cond" w:hAnsi="Arial Nova Cond" w:cstheme="minorHAnsi"/>
                <w:color w:val="000000"/>
                <w:kern w:val="0"/>
                <w:sz w:val="23"/>
                <w:szCs w:val="23"/>
              </w:rPr>
              <w:t xml:space="preserve">Increases the monthly retiree Health Insurance Subsidy from $5 to $7.50 for each year of creditable service. The maximum monthly benefit is adjusted from $150 to </w:t>
            </w:r>
            <w:proofErr w:type="gramStart"/>
            <w:r w:rsidRPr="0080043A">
              <w:rPr>
                <w:rFonts w:ascii="Arial Nova Cond" w:hAnsi="Arial Nova Cond" w:cstheme="minorHAnsi"/>
                <w:color w:val="000000"/>
                <w:kern w:val="0"/>
                <w:sz w:val="23"/>
                <w:szCs w:val="23"/>
              </w:rPr>
              <w:t>$225</w:t>
            </w:r>
            <w:proofErr w:type="gramEnd"/>
            <w:r w:rsidRPr="0080043A">
              <w:rPr>
                <w:rFonts w:ascii="Arial Nova Cond" w:hAnsi="Arial Nova Cond" w:cstheme="minorHAnsi"/>
                <w:color w:val="000000"/>
                <w:kern w:val="0"/>
                <w:sz w:val="23"/>
                <w:szCs w:val="23"/>
              </w:rPr>
              <w:t xml:space="preserve"> and the minimum monthly benefit is adjusted from $30 to $45, effective July 1, 2023.</w:t>
            </w:r>
          </w:p>
          <w:p w14:paraId="12BDA2AC"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p>
          <w:p w14:paraId="10165ED4" w14:textId="77777777" w:rsidR="0080043A" w:rsidRPr="0080043A" w:rsidRDefault="0080043A" w:rsidP="0080043A">
            <w:pPr>
              <w:autoSpaceDE w:val="0"/>
              <w:autoSpaceDN w:val="0"/>
              <w:adjustRightInd w:val="0"/>
              <w:ind w:left="180" w:hanging="180"/>
              <w:rPr>
                <w:rFonts w:ascii="Arial Nova Cond" w:hAnsi="Arial Nova Cond" w:cstheme="minorHAnsi"/>
                <w:color w:val="000000"/>
                <w:kern w:val="0"/>
                <w:sz w:val="23"/>
                <w:szCs w:val="23"/>
              </w:rPr>
            </w:pPr>
            <w:r w:rsidRPr="0080043A">
              <w:rPr>
                <w:rFonts w:ascii="Arial Nova Cond" w:hAnsi="Arial Nova Cond" w:cstheme="minorHAnsi"/>
                <w:color w:val="008997"/>
                <w:kern w:val="0"/>
                <w:sz w:val="23"/>
                <w:szCs w:val="23"/>
              </w:rPr>
              <w:t xml:space="preserve">• </w:t>
            </w:r>
            <w:r w:rsidRPr="0080043A">
              <w:rPr>
                <w:rFonts w:ascii="Arial Nova Cond" w:hAnsi="Arial Nova Cond" w:cstheme="minorHAnsi"/>
                <w:color w:val="000000"/>
                <w:kern w:val="0"/>
                <w:sz w:val="23"/>
                <w:szCs w:val="23"/>
              </w:rPr>
              <w:t>Amends the normal retirement date for Special Risk Class members initially enrolled on or after July 1, 2011, to be the earlier of 25 years of creditable service, or age 55, effective upon becoming law.</w:t>
            </w:r>
          </w:p>
          <w:p w14:paraId="656FB76E" w14:textId="77777777" w:rsidR="0080043A" w:rsidRDefault="0080043A" w:rsidP="00FB2598">
            <w:pPr>
              <w:autoSpaceDE w:val="0"/>
              <w:autoSpaceDN w:val="0"/>
              <w:adjustRightInd w:val="0"/>
              <w:rPr>
                <w:rFonts w:cstheme="minorHAnsi"/>
                <w:b/>
                <w:bCs/>
                <w:color w:val="008997"/>
                <w:kern w:val="0"/>
                <w:sz w:val="23"/>
                <w:szCs w:val="23"/>
              </w:rPr>
            </w:pPr>
          </w:p>
        </w:tc>
      </w:tr>
    </w:tbl>
    <w:p w14:paraId="762967B9" w14:textId="77777777" w:rsidR="003F1097" w:rsidRDefault="003F1097" w:rsidP="00FB2598">
      <w:pPr>
        <w:autoSpaceDE w:val="0"/>
        <w:autoSpaceDN w:val="0"/>
        <w:adjustRightInd w:val="0"/>
        <w:spacing w:after="0" w:line="240" w:lineRule="auto"/>
        <w:rPr>
          <w:rFonts w:cstheme="minorHAnsi"/>
          <w:b/>
          <w:bCs/>
          <w:color w:val="008997"/>
          <w:kern w:val="0"/>
          <w:sz w:val="23"/>
          <w:szCs w:val="23"/>
        </w:rPr>
      </w:pPr>
    </w:p>
    <w:p w14:paraId="41787E58" w14:textId="77777777" w:rsidR="00AE2587" w:rsidRPr="0024627F" w:rsidRDefault="00AE2587" w:rsidP="00C8641D">
      <w:pPr>
        <w:autoSpaceDE w:val="0"/>
        <w:autoSpaceDN w:val="0"/>
        <w:adjustRightInd w:val="0"/>
        <w:spacing w:after="0" w:line="240" w:lineRule="auto"/>
        <w:ind w:left="180" w:hanging="180"/>
        <w:rPr>
          <w:rFonts w:cstheme="minorHAnsi"/>
          <w:b/>
          <w:bCs/>
          <w:sz w:val="23"/>
          <w:szCs w:val="23"/>
        </w:rPr>
      </w:pPr>
    </w:p>
    <w:p w14:paraId="7BC8A7DC" w14:textId="09AB0C91" w:rsidR="00AE2587" w:rsidRPr="0024627F" w:rsidRDefault="00AE2587" w:rsidP="00C8641D">
      <w:pPr>
        <w:autoSpaceDE w:val="0"/>
        <w:autoSpaceDN w:val="0"/>
        <w:adjustRightInd w:val="0"/>
        <w:spacing w:after="0" w:line="240" w:lineRule="auto"/>
        <w:ind w:left="180" w:hanging="180"/>
        <w:rPr>
          <w:rFonts w:cstheme="minorHAnsi"/>
          <w:b/>
          <w:bCs/>
          <w:sz w:val="23"/>
          <w:szCs w:val="23"/>
        </w:rPr>
      </w:pPr>
      <w:r w:rsidRPr="0024627F">
        <w:rPr>
          <w:rFonts w:cstheme="minorHAnsi"/>
          <w:b/>
          <w:bCs/>
          <w:sz w:val="23"/>
          <w:szCs w:val="23"/>
        </w:rPr>
        <w:t xml:space="preserve">For more information, contact the </w:t>
      </w:r>
      <w:r w:rsidRPr="0024627F">
        <w:rPr>
          <w:rFonts w:ascii="FrizQuadrata-Regular" w:hAnsi="FrizQuadrata-Regular" w:cs="FrizQuadrata-Regular"/>
          <w:b/>
          <w:bCs/>
          <w:kern w:val="0"/>
          <w:sz w:val="21"/>
          <w:szCs w:val="21"/>
        </w:rPr>
        <w:t xml:space="preserve">Division of Retirement at </w:t>
      </w:r>
      <w:r w:rsidRPr="0024627F">
        <w:rPr>
          <w:rFonts w:ascii="FrizQuadrata-Regular" w:hAnsi="FrizQuadrata-Regular" w:cs="FrizQuadrata-Regular"/>
          <w:b/>
          <w:bCs/>
          <w:color w:val="C00000"/>
          <w:kern w:val="0"/>
          <w:sz w:val="21"/>
          <w:szCs w:val="21"/>
        </w:rPr>
        <w:t xml:space="preserve">1-844-377-1888 </w:t>
      </w:r>
      <w:r w:rsidRPr="0024627F">
        <w:rPr>
          <w:rFonts w:ascii="FrizQuadrata-Regular" w:hAnsi="FrizQuadrata-Regular" w:cs="FrizQuadrata-Regular"/>
          <w:b/>
          <w:bCs/>
          <w:kern w:val="0"/>
          <w:sz w:val="21"/>
          <w:szCs w:val="21"/>
        </w:rPr>
        <w:t>(toll-free)</w:t>
      </w:r>
      <w:proofErr w:type="gramStart"/>
      <w:r w:rsidRPr="0024627F">
        <w:rPr>
          <w:rFonts w:ascii="FrizQuadrata-Regular" w:hAnsi="FrizQuadrata-Regular" w:cs="FrizQuadrata-Regular"/>
          <w:b/>
          <w:bCs/>
          <w:kern w:val="0"/>
          <w:sz w:val="21"/>
          <w:szCs w:val="21"/>
        </w:rPr>
        <w:t>.</w:t>
      </w:r>
      <w:r w:rsidR="004B5E77" w:rsidRPr="0024627F">
        <w:rPr>
          <w:rFonts w:ascii="FrizQuadrata-Regular" w:hAnsi="FrizQuadrata-Regular" w:cs="FrizQuadrata-Regular"/>
          <w:b/>
          <w:bCs/>
          <w:kern w:val="0"/>
          <w:sz w:val="21"/>
          <w:szCs w:val="21"/>
        </w:rPr>
        <w:t xml:space="preserve">  </w:t>
      </w:r>
      <w:r w:rsidR="004B5E77" w:rsidRPr="0024627F">
        <w:rPr>
          <w:rFonts w:ascii="FrizQuadrata-Regular" w:hAnsi="FrizQuadrata-Regular" w:cs="FrizQuadrata-Regular"/>
          <w:b/>
          <w:bCs/>
          <w:color w:val="C00000"/>
          <w:kern w:val="0"/>
          <w:sz w:val="21"/>
          <w:szCs w:val="21"/>
        </w:rPr>
        <w:t>????</w:t>
      </w:r>
      <w:proofErr w:type="gramEnd"/>
    </w:p>
    <w:sectPr w:rsidR="00AE2587" w:rsidRPr="0024627F" w:rsidSect="0080043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w:charset w:val="00"/>
    <w:family w:val="swiss"/>
    <w:pitch w:val="variable"/>
    <w:sig w:usb0="0000028F" w:usb1="00000002" w:usb2="00000000" w:usb3="00000000" w:csb0="0000019F" w:csb1="00000000"/>
  </w:font>
  <w:font w:name="FrizQuadrata-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5D29"/>
    <w:multiLevelType w:val="hybridMultilevel"/>
    <w:tmpl w:val="1CF080E0"/>
    <w:lvl w:ilvl="0" w:tplc="A2088C76">
      <w:start w:val="1"/>
      <w:numFmt w:val="bullet"/>
      <w:lvlText w:val=""/>
      <w:lvlJc w:val="left"/>
      <w:pPr>
        <w:ind w:left="720" w:hanging="360"/>
      </w:pPr>
      <w:rPr>
        <w:rFonts w:ascii="Symbol" w:hAnsi="Symbol" w:hint="default"/>
        <w:color w:val="00A6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A01AA"/>
    <w:multiLevelType w:val="hybridMultilevel"/>
    <w:tmpl w:val="28802640"/>
    <w:lvl w:ilvl="0" w:tplc="40F68334">
      <w:start w:val="1"/>
      <w:numFmt w:val="bullet"/>
      <w:lvlText w:val=""/>
      <w:lvlJc w:val="left"/>
      <w:pPr>
        <w:ind w:left="720" w:hanging="360"/>
      </w:pPr>
      <w:rPr>
        <w:rFonts w:ascii="Symbol" w:hAnsi="Symbol" w:hint="default"/>
        <w:color w:val="00A6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291732">
    <w:abstractNumId w:val="0"/>
  </w:num>
  <w:num w:numId="2" w16cid:durableId="211898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98"/>
    <w:rsid w:val="0024627F"/>
    <w:rsid w:val="003F1097"/>
    <w:rsid w:val="004B5E77"/>
    <w:rsid w:val="006E0F8C"/>
    <w:rsid w:val="0080043A"/>
    <w:rsid w:val="008F1117"/>
    <w:rsid w:val="00911A39"/>
    <w:rsid w:val="00AA5553"/>
    <w:rsid w:val="00AE2587"/>
    <w:rsid w:val="00C56DB7"/>
    <w:rsid w:val="00C8641D"/>
    <w:rsid w:val="00FB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AC95"/>
  <w15:chartTrackingRefBased/>
  <w15:docId w15:val="{0289D09B-1694-4908-9F49-75A53F19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41D"/>
    <w:pPr>
      <w:ind w:left="720"/>
      <w:contextualSpacing/>
    </w:pPr>
  </w:style>
  <w:style w:type="table" w:styleId="TableGrid">
    <w:name w:val="Table Grid"/>
    <w:basedOn w:val="TableNormal"/>
    <w:uiPriority w:val="39"/>
    <w:rsid w:val="00800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0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Melinda</dc:creator>
  <cp:keywords/>
  <dc:description/>
  <cp:lastModifiedBy>Sutton Melinda</cp:lastModifiedBy>
  <cp:revision>2</cp:revision>
  <cp:lastPrinted>2023-06-13T18:58:00Z</cp:lastPrinted>
  <dcterms:created xsi:type="dcterms:W3CDTF">2023-06-20T19:52:00Z</dcterms:created>
  <dcterms:modified xsi:type="dcterms:W3CDTF">2023-06-20T19:52:00Z</dcterms:modified>
</cp:coreProperties>
</file>